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4402beb64aba4d2e" /></Relationships>
</file>

<file path=word/document.xml><?xml version="1.0" encoding="utf-8"?>
<w:document xmlns:w="http://schemas.openxmlformats.org/wordprocessingml/2006/main">
  <w:body>
    <w:tbl>
      <w:tblPr>
        <w:tblW w:w="9000" w:type="dxa"/>
        <w:tblBorders>
          <w:top w:val="nil"/>
          <w:bottom w:val="nil"/>
          <w:left w:val="nil"/>
          <w:right w:val="nil"/>
          <w:insideH w:val="nil"/>
          <w:insideV w:val="nil"/>
        </w:tblBorders>
        <w:tblCellSpacing w:w="60" w:type="dxa"/>
        <w:shd w:val="clear" w:color="auto" w:fill="E7F0F9"/>
      </w:tblPr>
      <w:tblGrid>
        <w:gridCol w:w="1200"/>
        <w:gridCol w:w="4500"/>
      </w:tblGrid>
      <w:tr>
        <w:tc>
          <w:tcPr>
            <w:tcW w:w="1200" w:type="pct"/>
            <w:shd w:val="clear" w:color="auto" w:fill="E7F0F9"/>
          </w:tcPr>
          <w:p>
            <w:pPr>
              <w:spacing w:before="0" w:after="0" w:line="240" w:lineRule="auto"/>
              <w:jc w:val="left"/>
            </w:pPr>
            <w:r>
              <w:rPr>
                <w:b/>
              </w:rPr>
              <w:t xml:space="preserve">RKP broj</w:t>
            </w:r>
          </w:p>
        </w:tc>
        <w:tc>
          <w:tcPr>
            <w:shd w:val="clear" w:color="auto" w:fill="E7F0F9"/>
          </w:tcPr>
          <w:p>
            <w:pPr>
              <w:spacing w:before="0" w:after="0" w:line="240" w:lineRule="auto"/>
              <w:jc w:val="left"/>
            </w:pPr>
            <w:r>
              <w:t xml:space="preserve">36766</w:t>
            </w:r>
          </w:p>
        </w:tc>
      </w:tr>
      <w:tr>
        <w:tc>
          <w:tcPr>
            <w:tcW w:w="1200" w:type="pct"/>
            <w:shd w:val="clear" w:color="auto" w:fill="E7F0F9"/>
          </w:tcPr>
          <w:p>
            <w:pPr>
              <w:spacing w:before="0" w:after="0" w:line="240" w:lineRule="auto"/>
              <w:jc w:val="left"/>
            </w:pPr>
            <w:r>
              <w:rPr>
                <w:b/>
              </w:rPr>
              <w:t xml:space="preserve">Naziv obveznika</w:t>
            </w:r>
          </w:p>
        </w:tc>
        <w:tc>
          <w:tcPr>
            <w:shd w:val="clear" w:color="auto" w:fill="E7F0F9"/>
          </w:tcPr>
          <w:p>
            <w:pPr>
              <w:spacing w:before="0" w:after="0" w:line="240" w:lineRule="auto"/>
              <w:jc w:val="left"/>
            </w:pPr>
            <w:r>
              <w:t xml:space="preserve">OPĆINA DONJI ANDRIJEVCI</w:t>
            </w:r>
          </w:p>
        </w:tc>
      </w:tr>
      <w:tr>
        <w:tc>
          <w:tcPr>
            <w:tcW w:w="1200" w:type="pct"/>
            <w:shd w:val="clear" w:color="auto" w:fill="E7F0F9"/>
          </w:tcPr>
          <w:p>
            <w:pPr>
              <w:spacing w:before="0" w:after="0" w:line="240" w:lineRule="auto"/>
              <w:jc w:val="left"/>
            </w:pPr>
            <w:r>
              <w:rPr>
                <w:b/>
              </w:rPr>
              <w:t xml:space="preserve">Razina</w:t>
            </w:r>
          </w:p>
        </w:tc>
        <w:tc>
          <w:tcPr>
            <w:shd w:val="clear" w:color="auto" w:fill="E7F0F9"/>
          </w:tcPr>
          <w:p>
            <w:pPr>
              <w:spacing w:before="0" w:after="0" w:line="240" w:lineRule="auto"/>
              <w:jc w:val="left"/>
            </w:pPr>
            <w:r>
              <w:t xml:space="preserve">23</w:t>
            </w:r>
          </w:p>
        </w:tc>
      </w:tr>
    </w:tbl>
    <w:p>
      <w:r>
        <w:br/>
      </w:r>
    </w:p>
    <w:p>
      <w:pPr>
        <w:jc w:val="center"/>
        <w:pStyle w:val="Normal"/>
        <w:spacing w:line="240" w:lineRule="auto"/>
      </w:pPr>
      <w:r>
        <w:rPr>
          <w:b/>
          <w:sz w:val="28"/>
          <w:rFonts w:ascii="Times New Roman" w:hAnsi="Times New Roman"/>
        </w:rPr>
        <w:t>BILJEŠKE UZ FINANCIJSKE IZVJEŠTAJE</w:t>
      </w:r>
    </w:p>
    <w:p>
      <w:pPr>
        <w:jc w:val="center"/>
        <w:pStyle w:val="Normal"/>
        <w:spacing w:line="240" w:lineRule="auto"/>
      </w:pPr>
      <w:r>
        <w:rPr>
          <w:b/>
          <w:sz w:val="28"/>
          <w:rFonts w:ascii="Times New Roman" w:hAnsi="Times New Roman"/>
        </w:rPr>
        <w:t>ZA RAZDOBLJE</w:t>
      </w:r>
    </w:p>
    <w:p>
      <w:pPr>
        <w:jc w:val="center"/>
        <w:pStyle w:val="Normal"/>
        <w:spacing w:line="240" w:lineRule="auto"/>
      </w:pPr>
      <w:r>
        <w:rPr>
          <w:b/>
          <w:sz w:val="28"/>
          <w:rFonts w:ascii="Times New Roman" w:hAnsi="Times New Roman"/>
        </w:rPr>
        <w:t>I - VI 2025.</w:t>
      </w:r>
    </w:p>
    <w:p/>
    <w:p>
      <w:pPr>
        <w:jc w:val="center"/>
        <w:pStyle w:val="Normal"/>
        <w:spacing w:line="240" w:lineRule="auto"/>
        <w:keepNext/>
      </w:pPr>
      <w:r>
        <w:rPr>
          <w:b/>
          <w:sz w:val="28"/>
          <w:rFonts w:ascii="Times New Roman" w:hAnsi="Times New Roman"/>
        </w:rPr>
        <w:t>Izvještaj o prihodima i rashodima, primicima i izdacima</w:t>
      </w:r>
    </w:p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1.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0" w:type="auto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PRIHODI POSLOVANJA (šifre 61+62+63+64+65+66+67+68)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1.240.802,17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2.222.385,86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179,1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RASHODI POSLOVANJA (šifre 31+32+34+35+36+37+38)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941.576,00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1.044.515,42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110,9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VIŠAK PRIHODA POSLOVANJA (šifre 6-Z005)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X001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299.226,17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1.177.870,44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393,6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Prihodi od prodaje nefinancijske imovine (šifre 71+72+73+74)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484,20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259,32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53,6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Rashodi za nabavu nefinancijske imovine (šifre 41+42+43+44+45)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286.051,50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1.387.703,09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485,1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MANJAK PRIHODA OD NEFINANCIJSKE IMOVINE (šifre 4-7)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Y002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285.567,30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1.387.443,77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485,9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8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Primici od financijske imovine i zaduživanja (šifre 81+82+83+84+85)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8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29.523,39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347.000,00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1175,3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Izdaci za financijsku imovinu i otplate zajmova (šifre 51+52+53+54+55)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27.190,52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500.000,00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1838,9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MANJAK PRIMITAKA OD FINANCIJSKE IMOVINE I ZADUŽIVANJA (šifre 5-8)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Y003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153.000,00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-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MANJAK PRIHODA I PRIMITAKA (šifre Y345-X678)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Y005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362.573,33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-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Ostvareni manjak prihoda u iznosu od 362.573,33 €, rezultat je pojačanih aktivnosti na izgradnji vrtića, izgradnja šumskih puteva, izgradnja pješačko biciklističkih staza, a za koje  , nakon plaćanja situacija, sredstva trebaju pristići iz odgovarajućih fondova (EU), prema poslanim ZNS-ovima. Kroz nadolazeće razdoblje sredstva koja pristignu  zatvorit će planiranu financijsku konstrukciju , odnosno trenutni manjak prihoda. Podaci ove razine identični su razini 22, jer općina nema proračunskih korisnika za konsolidaciju.</w:t>
      </w:r>
    </w:p>
    <w:p>
      <w:r>
        <w:br/>
      </w:r>
    </w:p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2.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PRIHODI POSLOVANJA (šifre 61+62+63+64+65+66+67+68)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1.240.802,17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2.222.385,86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179,1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Prihodi poslovanja su ostvareni sa  2.222.385,86 €, što je 79,1% više u odnosu na isto razdoblje prethodne godine. Razlog ovog povećanja su nove aktivnosti i projekti koji su realizirani u 2025.g., odnosno dio prihoda (pomoći) koji su do 30.6.2025.g. uplaćeni na općinski proračun u najvećoj mjeri se odnose na njih.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3.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Pomoći iz inozemstva i od subjekata unutar općeg proračuna (šifre 631+632+633+634+635+636+637+638+639)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705.681,83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1.552.078,77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219,9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Pomoći iz inozemstva i  od subjekata unutar općeg proračuna: 63 63311-Državni proračun-Ministarstvo kulture-Samičarska radionica-2.400,00 €, 63312- Proračun BPŽ-sredstva za dezinsekciju i refundacija troškova lokalnih izbora: 20.821,73 ,  Kapitalna pomoć-Ministarstvo turizma-za malonogometno igralište-45.000,00 €,  634- HZZO-zapošljavanje Javni rad-13.697,86 €, 635- Fiskalno izravnanje- 325.490,96 €,  6381- Projekt Zaželi-ZNS-42.183,90 €, APPRR- LAF- 23.624,40 €, APPRR- sredstva pomoći za izgradnju šumskih puteva i izgradnju dječjeg vrtića, Državni proračuna-Ministarstvo reg. razvoja-ITU mehanizam.za biciklističko pješačke staze: 260.270,00 €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4.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RASHODI POSLOVANJA (šifre 31+32+34+35+36+37+38)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941.576,00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1.044.515,42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110,9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Rashodi poslovanja, u odnosu na prethodnu godinu izvršeni su u nešto većem iznosu. Povećanje pojedinih rashoda kod razrade prihoda poslovanja kroz analitička konta 4 razine, odnose se na rashode za zaposlene (povećanje minimalne plaće kod projekta Zaželi), rashodi za usluge (komunalne), financijski rashodi (kamate za primljene zajmove), 381- Rashodi donacije ove godine sva dodijeljena sredstva iz Javnog natječaja teretila su rashod, bez obzira na vrijeme isplate.  Smanjenje je vidljivo kod rashoda skupine 372 ( prethodne godine su izvršene isplate pomoći za štete od elementarne nepogode iz 2023,g)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5.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Rashodi za nabavu proizvedene dugotrajne imovine (šifre 421+422+423+424+425+426)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278.566,72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1.361.774,80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488,9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Rashodi za nabavu proizvedene dugotrajne imovine, Šifra 42, imaju značajan porast u odnosu na isto izvještajno razdoblje prošle godine. Razlog ovog povećanja su završetak izgradnje dječjeg  vrtića, izgradnja šumskih puteva, izgradnja pješačko biciklističkih staza, kojih u prethodnoj godini nije bilo. Index 488,9.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6.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84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Primici od zaduživanja (šifre 841+842+843+844+845+847)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84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29.523,39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330.000,00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1117,8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Šifra 84-Primici od zaduživanja u ovoj 2025.g. , odnose se na kratkoročno zaduženje kod matične poslovne banke (PBZ), radi podmirivanja dijela izdataka kod započetih investicija, a za koja će sredstva pristići u narednim mjesecima.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7.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54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Izdaci za otplatu glavnice primljenih kredita i zajmova (šifre 541+542+543+544+545+547)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54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24.690,52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500.000,00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2025,1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Šifra 54- Izdaci za otplatu glavnice primljenih kredita i zajmova - odnose se na otplatu primljenog kratkoročnog zajma matične poslovne banke iz 2024.g., a čije dospijeće cijele glavnice je bilo u prvom polugodištu 2025.g.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8.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Manjak prihoda i primitaka za pokriće u sljedećem razdoblju (šifre Y005 + '9222-9221' - X005 - '9221-9222' 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Y006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64.552,09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Manjak prihoda i primitaka za pokriće u sljedećem razdoblju rezultat je zbroja prenesenog viška iz prethodne godine (korigiranog) - 298.021,24 € i manjka ostvarenog u ovom izvještajnom razdoblju- 362.573,33 €, iznosi 64.552,09 €.</w:t>
      </w:r>
    </w:p>
    <w:p/>
    <w:p>
      <w:pPr>
        <w:jc w:val="center"/>
        <w:pStyle w:val="Normal"/>
        <w:spacing w:line="240" w:lineRule="auto"/>
        <w:keepNext/>
      </w:pPr>
      <w:r>
        <w:rPr>
          <w:b/>
          <w:sz w:val="28"/>
          <w:rFonts w:ascii="Times New Roman" w:hAnsi="Times New Roman"/>
        </w:rPr>
        <w:t>Izvještaj o obvezama</w:t>
      </w:r>
    </w:p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9.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Iznos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/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Stanje dospjelih obveza na kraju izvještajnog razdoblja (šifre V008+D23+D24 + 'D dio 25,26' + D27)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V007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24.042,37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Stanje dospjelih neplaćenih obveza općine odnosi se na račune koji su pristigli, ali je njihova dostava od strane dobavljača kasnila, a dospijeća plaćanja  zadana na njima su bila kratka. Ti dospjeli računi su već početkom mjeseca srpnja plaćeni, odnosno do dana sastavljanja bilješki i popunjavanja izvještaja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10.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Iznos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Obveze za rashode poslovanja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ND23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169.408,69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Stanje nedospjelih obveza odnosi se na : plaće za zaposlene za 6/2025.g.,  i nedospjele obveze prema dobavljačima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11.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Iznos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dio 25,26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Obveze za financijsku imovinu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ND dio 25,26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330.000,00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Stanje nedospjele glavnice kratkoročnog zaduženja kod poslovne banke-330.000,00 €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12.</w:t>
      </w:r>
    </w:p>
    <w:p>
      <w:pPr>
        <w:jc w:val="both"/>
        <w:pStyle w:val="Normal"/>
        <w:spacing w:line="240" w:lineRule="auto"/>
      </w:pPr>
      <w:r>
        <w:rPr>
          <w:b/>
          <w:sz w:val="24"/>
          <w:rFonts w:ascii="Times New Roman" w:hAnsi="Times New Roman"/>
        </w:rPr>
        <w:t>Unutargrupne transakcije koje su u izvještajima eliminirane</w:t>
      </w: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Nema podataka za ovu stavku jer općine nema proračunskih korisnika za konsolidaciju.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13.</w:t>
      </w:r>
    </w:p>
    <w:p>
      <w:pPr>
        <w:jc w:val="both"/>
        <w:pStyle w:val="Normal"/>
        <w:spacing w:line="240" w:lineRule="auto"/>
      </w:pPr>
      <w:r>
        <w:rPr>
          <w:b/>
          <w:sz w:val="24"/>
          <w:rFonts w:ascii="Times New Roman" w:hAnsi="Times New Roman"/>
        </w:rPr>
        <w:t>Manjak ili višak u poslovanju grupe i pregled strukture manjka/viška po proračunskim korisnicima </w:t>
      </w: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Nema podataka za ovu stavku jer općine nema proračunskih korisnika za konsolidaciju. Pa je ostvareni manjak identičan onome razine 22.</w:t>
      </w:r>
    </w:p>
    <w:p/>
  </w:body>
</w:document>
</file>

<file path=word/styles.xml><?xml version="1.0" encoding="utf-8"?>
<w:styles xmlns:w="http://schemas.openxmlformats.org/wordprocessingml/2006/main">
  <w:style w:type="paragraph" w:styleId="Normal" w:default="true">
    <w:name w:val="Normal"/>
    <w:rPr>
      <w:rFonts w:ascii="Times New Roman" w:hAnsi="Times New Roman"/>
      <w:sz w:val="24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5ed1a5830dbc46c9" /></Relationships>
</file>